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21" w:rsidRPr="008F6D59" w:rsidRDefault="00F06C21" w:rsidP="00F06C21">
      <w:pPr>
        <w:pStyle w:val="Ttulo2"/>
        <w:spacing w:before="120" w:after="240" w:line="360" w:lineRule="auto"/>
        <w:rPr>
          <w:rFonts w:ascii="Arial" w:hAnsi="Arial" w:cs="Arial"/>
          <w:b/>
          <w:color w:val="auto"/>
          <w:sz w:val="22"/>
          <w:szCs w:val="22"/>
        </w:rPr>
      </w:pPr>
      <w:bookmarkStart w:id="0" w:name="_Toc409100609"/>
      <w:r w:rsidRPr="008F6D59">
        <w:rPr>
          <w:rFonts w:ascii="Arial" w:hAnsi="Arial" w:cs="Arial"/>
          <w:b/>
          <w:color w:val="auto"/>
          <w:sz w:val="22"/>
          <w:szCs w:val="22"/>
        </w:rPr>
        <w:t>. Matriz curricular</w:t>
      </w:r>
      <w:bookmarkEnd w:id="0"/>
    </w:p>
    <w:p w:rsidR="00F06C21" w:rsidRPr="008F6D59" w:rsidRDefault="00F06C21" w:rsidP="00F06C2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F6D59">
        <w:rPr>
          <w:rFonts w:ascii="Arial" w:hAnsi="Arial" w:cs="Arial"/>
          <w:sz w:val="22"/>
          <w:szCs w:val="22"/>
        </w:rPr>
        <w:t xml:space="preserve">A matriz curricular do </w:t>
      </w:r>
      <w:r w:rsidRPr="008F6D59">
        <w:rPr>
          <w:rFonts w:ascii="Arial" w:hAnsi="Arial" w:cs="Arial"/>
          <w:sz w:val="22"/>
          <w:szCs w:val="22"/>
          <w:lang w:eastAsia="pt-BR"/>
        </w:rPr>
        <w:t xml:space="preserve">Curso de Bacharelado em Engenharia de Alimentos </w:t>
      </w:r>
      <w:r w:rsidRPr="008F6D59">
        <w:rPr>
          <w:rFonts w:ascii="Arial" w:hAnsi="Arial" w:cs="Arial"/>
          <w:sz w:val="22"/>
          <w:szCs w:val="22"/>
          <w:shd w:val="clear" w:color="auto" w:fill="FFFFFF"/>
        </w:rPr>
        <w:t xml:space="preserve">na linha de formação </w:t>
      </w:r>
      <w:r w:rsidRPr="008F6D59">
        <w:rPr>
          <w:rFonts w:ascii="Arial" w:hAnsi="Arial" w:cs="Arial"/>
          <w:i/>
          <w:sz w:val="22"/>
          <w:szCs w:val="22"/>
          <w:shd w:val="clear" w:color="auto" w:fill="FFFFFF"/>
        </w:rPr>
        <w:t xml:space="preserve">Segurança Alimentar e Desenvolvimento Agroindustrial Sustentável do Centro de Ciências da Natureza da UFSCar (CCN/UFSCar) </w:t>
      </w:r>
      <w:r w:rsidRPr="008F6D59">
        <w:rPr>
          <w:rFonts w:ascii="Arial" w:hAnsi="Arial" w:cs="Arial"/>
          <w:sz w:val="22"/>
          <w:szCs w:val="22"/>
        </w:rPr>
        <w:t>está estruturada conforme o estabelecido</w:t>
      </w:r>
      <w:r w:rsidRPr="008F6D59">
        <w:rPr>
          <w:rFonts w:ascii="Arial" w:hAnsi="Arial" w:cs="Arial"/>
          <w:iCs/>
          <w:sz w:val="22"/>
          <w:szCs w:val="22"/>
        </w:rPr>
        <w:t xml:space="preserve"> na </w:t>
      </w:r>
      <w:hyperlink r:id="rId6" w:tgtFrame="_blank" w:history="1">
        <w:r w:rsidRPr="008F6D59">
          <w:rPr>
            <w:rFonts w:ascii="Arial" w:hAnsi="Arial" w:cs="Arial"/>
            <w:sz w:val="22"/>
            <w:szCs w:val="22"/>
          </w:rPr>
          <w:t>Resolução CNE/CES nº 11/200</w:t>
        </w:r>
      </w:hyperlink>
      <w:r w:rsidRPr="008F6D59">
        <w:rPr>
          <w:rFonts w:ascii="Arial" w:hAnsi="Arial" w:cs="Arial"/>
          <w:sz w:val="22"/>
          <w:szCs w:val="22"/>
        </w:rPr>
        <w:t>2</w:t>
      </w:r>
      <w:r w:rsidRPr="008F6D59">
        <w:rPr>
          <w:rFonts w:ascii="Arial" w:hAnsi="Arial" w:cs="Arial"/>
          <w:i/>
          <w:sz w:val="22"/>
          <w:szCs w:val="22"/>
        </w:rPr>
        <w:t xml:space="preserve"> </w:t>
      </w:r>
      <w:r w:rsidRPr="008F6D59">
        <w:rPr>
          <w:rFonts w:ascii="Arial" w:hAnsi="Arial" w:cs="Arial"/>
          <w:sz w:val="22"/>
          <w:szCs w:val="22"/>
        </w:rPr>
        <w:t xml:space="preserve">e na </w:t>
      </w:r>
      <w:hyperlink r:id="rId7" w:tgtFrame="_blank" w:history="1">
        <w:r w:rsidRPr="008F6D59">
          <w:rPr>
            <w:rStyle w:val="Hyperlink"/>
            <w:rFonts w:ascii="Arial" w:hAnsi="Arial" w:cs="Arial"/>
            <w:sz w:val="22"/>
            <w:szCs w:val="22"/>
          </w:rPr>
          <w:t xml:space="preserve">Resolução CNE/CES nº 1/2006. </w:t>
        </w:r>
      </w:hyperlink>
    </w:p>
    <w:p w:rsidR="00F06C21" w:rsidRPr="008F6D59" w:rsidRDefault="00F06C21" w:rsidP="00F06C2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F6D59">
        <w:rPr>
          <w:rFonts w:ascii="Arial" w:hAnsi="Arial" w:cs="Arial"/>
          <w:sz w:val="22"/>
          <w:szCs w:val="22"/>
        </w:rPr>
        <w:t>Para a obtenção do grau de Bacharel em Engenharia de Alimentos os estudantes do Curso, ao longo de 05 (cinco) anos, cumprirão 3960 horas de componentes curriculares necessários para a integralização curricular</w:t>
      </w:r>
      <w:r w:rsidRPr="008F6D59">
        <w:rPr>
          <w:rStyle w:val="Refdenotaderodap"/>
          <w:rFonts w:ascii="Arial" w:hAnsi="Arial"/>
          <w:sz w:val="22"/>
          <w:szCs w:val="22"/>
        </w:rPr>
        <w:footnoteReference w:id="1"/>
      </w:r>
      <w:r w:rsidRPr="008F6D59">
        <w:rPr>
          <w:rFonts w:ascii="Arial" w:hAnsi="Arial" w:cs="Arial"/>
          <w:sz w:val="22"/>
          <w:szCs w:val="22"/>
        </w:rPr>
        <w:t>.</w:t>
      </w:r>
    </w:p>
    <w:p w:rsidR="00F06C21" w:rsidRPr="008F6D59" w:rsidRDefault="00F06C21" w:rsidP="00F06C2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F6D59">
        <w:rPr>
          <w:rFonts w:ascii="Arial" w:hAnsi="Arial" w:cs="Arial"/>
          <w:sz w:val="22"/>
          <w:szCs w:val="22"/>
        </w:rPr>
        <w:t xml:space="preserve">A distribuição desta carga horária na matriz curricular do curso está apresentada no quadro a seguir, </w:t>
      </w:r>
      <w:r w:rsidRPr="008F6D59">
        <w:rPr>
          <w:rFonts w:ascii="Arial" w:hAnsi="Arial" w:cs="Arial"/>
          <w:b/>
          <w:sz w:val="22"/>
          <w:szCs w:val="22"/>
        </w:rPr>
        <w:t>por</w:t>
      </w:r>
      <w:r w:rsidRPr="008F6D59">
        <w:rPr>
          <w:rFonts w:ascii="Arial" w:hAnsi="Arial" w:cs="Arial"/>
          <w:sz w:val="22"/>
          <w:szCs w:val="22"/>
        </w:rPr>
        <w:t xml:space="preserve"> </w:t>
      </w:r>
      <w:r w:rsidRPr="008F6D59">
        <w:rPr>
          <w:rFonts w:ascii="Arial" w:hAnsi="Arial" w:cs="Arial"/>
          <w:b/>
          <w:sz w:val="22"/>
          <w:szCs w:val="22"/>
        </w:rPr>
        <w:t>ano</w:t>
      </w:r>
      <w:r w:rsidRPr="008F6D59">
        <w:rPr>
          <w:rFonts w:ascii="Arial" w:hAnsi="Arial" w:cs="Arial"/>
          <w:sz w:val="22"/>
          <w:szCs w:val="22"/>
        </w:rPr>
        <w:t xml:space="preserve">, </w:t>
      </w:r>
      <w:r w:rsidRPr="008F6D59">
        <w:rPr>
          <w:rFonts w:ascii="Arial" w:hAnsi="Arial" w:cs="Arial"/>
          <w:b/>
          <w:sz w:val="22"/>
          <w:szCs w:val="22"/>
        </w:rPr>
        <w:t>por Eixo Temático,</w:t>
      </w:r>
      <w:r w:rsidRPr="008F6D59">
        <w:rPr>
          <w:rFonts w:ascii="Arial" w:hAnsi="Arial" w:cs="Arial"/>
          <w:sz w:val="22"/>
          <w:szCs w:val="22"/>
        </w:rPr>
        <w:t xml:space="preserve"> </w:t>
      </w:r>
      <w:r w:rsidRPr="008F6D59">
        <w:rPr>
          <w:rFonts w:ascii="Arial" w:hAnsi="Arial" w:cs="Arial"/>
          <w:b/>
          <w:sz w:val="22"/>
          <w:szCs w:val="22"/>
        </w:rPr>
        <w:t>por caráter</w:t>
      </w:r>
      <w:r w:rsidRPr="008F6D59">
        <w:rPr>
          <w:rFonts w:ascii="Arial" w:hAnsi="Arial" w:cs="Arial"/>
          <w:sz w:val="22"/>
          <w:szCs w:val="22"/>
        </w:rPr>
        <w:t xml:space="preserve"> – obrigatório (</w:t>
      </w:r>
      <w:proofErr w:type="spellStart"/>
      <w:r w:rsidRPr="008F6D59">
        <w:rPr>
          <w:rFonts w:ascii="Arial" w:hAnsi="Arial" w:cs="Arial"/>
          <w:sz w:val="22"/>
          <w:szCs w:val="22"/>
        </w:rPr>
        <w:t>obr</w:t>
      </w:r>
      <w:proofErr w:type="spellEnd"/>
      <w:r w:rsidRPr="008F6D59">
        <w:rPr>
          <w:rFonts w:ascii="Arial" w:hAnsi="Arial" w:cs="Arial"/>
          <w:sz w:val="22"/>
          <w:szCs w:val="22"/>
        </w:rPr>
        <w:t>), optativo (</w:t>
      </w:r>
      <w:proofErr w:type="spellStart"/>
      <w:r w:rsidRPr="008F6D59">
        <w:rPr>
          <w:rFonts w:ascii="Arial" w:hAnsi="Arial" w:cs="Arial"/>
          <w:sz w:val="22"/>
          <w:szCs w:val="22"/>
        </w:rPr>
        <w:t>opt</w:t>
      </w:r>
      <w:proofErr w:type="spellEnd"/>
      <w:r w:rsidRPr="008F6D59">
        <w:rPr>
          <w:rFonts w:ascii="Arial" w:hAnsi="Arial" w:cs="Arial"/>
          <w:sz w:val="22"/>
          <w:szCs w:val="22"/>
        </w:rPr>
        <w:t>) e eletivo (</w:t>
      </w:r>
      <w:proofErr w:type="spellStart"/>
      <w:r w:rsidRPr="008F6D59">
        <w:rPr>
          <w:rFonts w:ascii="Arial" w:hAnsi="Arial" w:cs="Arial"/>
          <w:sz w:val="22"/>
          <w:szCs w:val="22"/>
        </w:rPr>
        <w:t>el</w:t>
      </w:r>
      <w:proofErr w:type="spellEnd"/>
      <w:r w:rsidRPr="008F6D59">
        <w:rPr>
          <w:rFonts w:ascii="Arial" w:hAnsi="Arial" w:cs="Arial"/>
          <w:sz w:val="22"/>
          <w:szCs w:val="22"/>
        </w:rPr>
        <w:t xml:space="preserve">) e por </w:t>
      </w:r>
      <w:r w:rsidRPr="008F6D59">
        <w:rPr>
          <w:rFonts w:ascii="Arial" w:hAnsi="Arial" w:cs="Arial"/>
          <w:b/>
          <w:sz w:val="22"/>
          <w:szCs w:val="22"/>
        </w:rPr>
        <w:t>natureza dos créditos</w:t>
      </w:r>
      <w:r w:rsidRPr="008F6D59">
        <w:rPr>
          <w:rFonts w:ascii="Arial" w:hAnsi="Arial" w:cs="Arial"/>
          <w:sz w:val="22"/>
          <w:szCs w:val="22"/>
        </w:rPr>
        <w:t xml:space="preserve"> – teórico (T), prático (P) e estágio (E).  Esses Eixos Temáticos, de acordo a especificidade e o enfoque do curso, estão assim delineados: Desenvolvimento e gestão agroindustrial; Ciência de alimentos; Ciências da Engenharia; Engenharia de processos e Produtos e processos de origem animal, vegetal e microbiana.</w:t>
      </w:r>
    </w:p>
    <w:p w:rsidR="00F06C21" w:rsidRPr="008F6D59" w:rsidRDefault="00F06C21" w:rsidP="00F06C2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F6D59">
        <w:rPr>
          <w:rFonts w:ascii="Arial" w:hAnsi="Arial" w:cs="Arial"/>
          <w:sz w:val="22"/>
          <w:szCs w:val="22"/>
        </w:rPr>
        <w:t>Apresentamos a seguir o detalhamento da matriz curricular dos 05 (cinco) temáticos que compõem o curso de Engenharia de Alimentos, distribuídos em seus 05 (cinco) anos de duração (Quadro 1).</w:t>
      </w:r>
    </w:p>
    <w:p w:rsidR="00F06C21" w:rsidRPr="008F6D59" w:rsidRDefault="00F06C21" w:rsidP="00F06C2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06C21" w:rsidRPr="008F6D59" w:rsidRDefault="00F06C21" w:rsidP="00F06C21"/>
    <w:p w:rsidR="00F06C21" w:rsidRPr="008F6D59" w:rsidRDefault="00F06C21" w:rsidP="00F06C21">
      <w:pPr>
        <w:sectPr w:rsidR="00F06C21" w:rsidRPr="008F6D59" w:rsidSect="00EC370B">
          <w:pgSz w:w="11906" w:h="16838"/>
          <w:pgMar w:top="1411" w:right="1699" w:bottom="1411" w:left="1699" w:header="706" w:footer="706" w:gutter="0"/>
          <w:cols w:space="708"/>
          <w:docGrid w:linePitch="360"/>
        </w:sectPr>
      </w:pPr>
    </w:p>
    <w:p w:rsidR="00F06C21" w:rsidRPr="008F6D59" w:rsidRDefault="00F06C21" w:rsidP="00F06C21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8F6D59">
        <w:rPr>
          <w:rFonts w:ascii="Arial" w:hAnsi="Arial" w:cs="Arial"/>
          <w:b/>
          <w:sz w:val="22"/>
          <w:szCs w:val="22"/>
        </w:rPr>
        <w:lastRenderedPageBreak/>
        <w:t>Quadro 1. Distribuição dos créditos na matriz curricular</w:t>
      </w:r>
    </w:p>
    <w:tbl>
      <w:tblPr>
        <w:tblpPr w:leftFromText="180" w:rightFromText="180" w:vertAnchor="page" w:horzAnchor="margin" w:tblpXSpec="center" w:tblpY="2101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"/>
        <w:gridCol w:w="8"/>
        <w:gridCol w:w="88"/>
        <w:gridCol w:w="994"/>
        <w:gridCol w:w="3147"/>
        <w:gridCol w:w="481"/>
        <w:gridCol w:w="599"/>
        <w:gridCol w:w="508"/>
        <w:gridCol w:w="32"/>
        <w:gridCol w:w="630"/>
        <w:gridCol w:w="44"/>
        <w:gridCol w:w="406"/>
        <w:gridCol w:w="228"/>
        <w:gridCol w:w="492"/>
        <w:gridCol w:w="270"/>
        <w:gridCol w:w="17"/>
        <w:gridCol w:w="433"/>
        <w:gridCol w:w="389"/>
        <w:gridCol w:w="17"/>
        <w:gridCol w:w="700"/>
        <w:gridCol w:w="17"/>
        <w:gridCol w:w="32"/>
      </w:tblGrid>
      <w:tr w:rsidR="00F06C21" w:rsidRPr="008F6D59" w:rsidTr="00004CC2">
        <w:trPr>
          <w:gridAfter w:val="5"/>
          <w:wAfter w:w="1155" w:type="dxa"/>
        </w:trPr>
        <w:tc>
          <w:tcPr>
            <w:tcW w:w="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Eixo Temático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 xml:space="preserve">Caráter 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Natureza dos Créditos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F06C21" w:rsidRPr="008F6D59" w:rsidTr="00004CC2">
        <w:trPr>
          <w:gridAfter w:val="5"/>
          <w:wAfter w:w="1155" w:type="dxa"/>
        </w:trPr>
        <w:tc>
          <w:tcPr>
            <w:tcW w:w="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  <w:b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6D59">
              <w:rPr>
                <w:rFonts w:ascii="Arial" w:hAnsi="Arial" w:cs="Arial"/>
                <w:b/>
                <w:sz w:val="22"/>
                <w:szCs w:val="22"/>
              </w:rPr>
              <w:t>Cred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CH</w:t>
            </w:r>
          </w:p>
        </w:tc>
      </w:tr>
      <w:tr w:rsidR="00F06C21" w:rsidRPr="008F6D59" w:rsidTr="00004CC2">
        <w:trPr>
          <w:gridAfter w:val="5"/>
          <w:wAfter w:w="1155" w:type="dxa"/>
        </w:trPr>
        <w:tc>
          <w:tcPr>
            <w:tcW w:w="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 xml:space="preserve">1º </w:t>
            </w:r>
          </w:p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Desenvolvimento e gestão agroindustrial 1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6D59">
              <w:rPr>
                <w:rFonts w:ascii="Arial" w:hAnsi="Arial" w:cs="Arial"/>
                <w:b/>
                <w:sz w:val="22"/>
                <w:szCs w:val="22"/>
              </w:rPr>
              <w:t>Obr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F06C21" w:rsidRPr="008F6D59" w:rsidTr="00004CC2">
        <w:trPr>
          <w:gridAfter w:val="5"/>
          <w:wAfter w:w="1155" w:type="dxa"/>
        </w:trPr>
        <w:tc>
          <w:tcPr>
            <w:tcW w:w="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Ciência de alimentos 1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</w:tr>
      <w:tr w:rsidR="00F06C21" w:rsidRPr="008F6D59" w:rsidTr="00004CC2">
        <w:trPr>
          <w:gridAfter w:val="5"/>
          <w:wAfter w:w="1155" w:type="dxa"/>
        </w:trPr>
        <w:tc>
          <w:tcPr>
            <w:tcW w:w="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Ciências da Engenharia 1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</w:tr>
      <w:tr w:rsidR="00F06C21" w:rsidRPr="008F6D59" w:rsidTr="00004CC2">
        <w:trPr>
          <w:gridAfter w:val="5"/>
          <w:wAfter w:w="1155" w:type="dxa"/>
        </w:trPr>
        <w:tc>
          <w:tcPr>
            <w:tcW w:w="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Engenharia de processos 1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</w:tr>
      <w:tr w:rsidR="00F06C21" w:rsidRPr="008F6D59" w:rsidTr="00004CC2">
        <w:trPr>
          <w:gridAfter w:val="5"/>
          <w:wAfter w:w="1155" w:type="dxa"/>
        </w:trPr>
        <w:tc>
          <w:tcPr>
            <w:tcW w:w="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Produtos e processos de origem animal, vegetal e microbiana 1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F06C21" w:rsidRPr="008F6D59" w:rsidTr="00004CC2">
        <w:trPr>
          <w:gridAfter w:val="5"/>
          <w:wAfter w:w="1155" w:type="dxa"/>
        </w:trPr>
        <w:tc>
          <w:tcPr>
            <w:tcW w:w="5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Subtotais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00A78">
              <w:rPr>
                <w:rFonts w:ascii="Arial" w:hAnsi="Arial" w:cs="Arial"/>
                <w:b/>
                <w:sz w:val="22"/>
                <w:szCs w:val="22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00A78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780</w:t>
            </w:r>
          </w:p>
        </w:tc>
      </w:tr>
      <w:tr w:rsidR="00F06C21" w:rsidRPr="008F6D59" w:rsidTr="00004CC2">
        <w:trPr>
          <w:gridAfter w:val="5"/>
          <w:wAfter w:w="1155" w:type="dxa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 xml:space="preserve">2º 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Desenvolvimento e gestão agroindustrial 2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proofErr w:type="spellStart"/>
            <w:r w:rsidRPr="008F6D59">
              <w:rPr>
                <w:rFonts w:ascii="Arial" w:hAnsi="Arial" w:cs="Arial"/>
                <w:b/>
                <w:sz w:val="22"/>
                <w:szCs w:val="22"/>
              </w:rPr>
              <w:t>Obr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F06C21" w:rsidRPr="008F6D59" w:rsidTr="00004CC2">
        <w:trPr>
          <w:gridAfter w:val="5"/>
          <w:wAfter w:w="1155" w:type="dxa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Ciência de alimentos 2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</w:tr>
      <w:tr w:rsidR="00F06C21" w:rsidRPr="008F6D59" w:rsidTr="00004CC2">
        <w:trPr>
          <w:gridAfter w:val="5"/>
          <w:wAfter w:w="1155" w:type="dxa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Ciências da Engenharia 2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</w:tr>
      <w:tr w:rsidR="00F06C21" w:rsidRPr="008F6D59" w:rsidTr="00004CC2">
        <w:trPr>
          <w:gridAfter w:val="5"/>
          <w:wAfter w:w="1155" w:type="dxa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Engenharia de processos 2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</w:tr>
      <w:tr w:rsidR="00F06C21" w:rsidRPr="008F6D59" w:rsidTr="00004CC2">
        <w:trPr>
          <w:gridAfter w:val="5"/>
          <w:wAfter w:w="1155" w:type="dxa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Produtos e processos de origem animal, vegetal e microbiana 2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F06C21" w:rsidRPr="008F6D59" w:rsidTr="00004CC2">
        <w:trPr>
          <w:gridAfter w:val="5"/>
          <w:wAfter w:w="1155" w:type="dxa"/>
        </w:trPr>
        <w:tc>
          <w:tcPr>
            <w:tcW w:w="5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Subtotais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750</w:t>
            </w:r>
          </w:p>
        </w:tc>
      </w:tr>
      <w:tr w:rsidR="00F06C21" w:rsidRPr="008F6D59" w:rsidTr="00004CC2">
        <w:trPr>
          <w:gridAfter w:val="5"/>
          <w:wAfter w:w="1155" w:type="dxa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 xml:space="preserve">3º 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Desenvolvimento e gestão agroindustrial 3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proofErr w:type="spellStart"/>
            <w:r w:rsidRPr="008F6D59">
              <w:rPr>
                <w:rFonts w:ascii="Arial" w:hAnsi="Arial" w:cs="Arial"/>
                <w:b/>
                <w:sz w:val="22"/>
                <w:szCs w:val="22"/>
              </w:rPr>
              <w:t>Obr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F06C21" w:rsidRPr="008F6D59" w:rsidTr="00004CC2">
        <w:trPr>
          <w:gridAfter w:val="5"/>
          <w:wAfter w:w="1155" w:type="dxa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Ciência de alimentos 3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</w:tr>
      <w:tr w:rsidR="00F06C21" w:rsidRPr="008F6D59" w:rsidTr="00004CC2">
        <w:trPr>
          <w:gridAfter w:val="5"/>
          <w:wAfter w:w="1155" w:type="dxa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Ciências da Engenharia 3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</w:tr>
      <w:tr w:rsidR="00F06C21" w:rsidRPr="008F6D59" w:rsidTr="00004CC2">
        <w:trPr>
          <w:gridAfter w:val="5"/>
          <w:wAfter w:w="1155" w:type="dxa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Engenharia de processos 3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</w:tr>
      <w:tr w:rsidR="00F06C21" w:rsidRPr="008F6D59" w:rsidTr="00004CC2">
        <w:trPr>
          <w:gridAfter w:val="5"/>
          <w:wAfter w:w="1155" w:type="dxa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Produtos e processos de origem animal, vegetal e microbiana 3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</w:tr>
      <w:tr w:rsidR="00F06C21" w:rsidRPr="008F6D59" w:rsidTr="00004CC2">
        <w:trPr>
          <w:gridAfter w:val="5"/>
          <w:wAfter w:w="1155" w:type="dxa"/>
        </w:trPr>
        <w:tc>
          <w:tcPr>
            <w:tcW w:w="5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Subtotais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00A78">
              <w:rPr>
                <w:rFonts w:ascii="Arial" w:hAnsi="Arial" w:cs="Arial"/>
                <w:b/>
                <w:sz w:val="22"/>
                <w:szCs w:val="22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00A78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750</w:t>
            </w:r>
          </w:p>
        </w:tc>
      </w:tr>
      <w:tr w:rsidR="00F06C21" w:rsidRPr="008F6D59" w:rsidTr="00004CC2">
        <w:trPr>
          <w:trHeight w:val="506"/>
        </w:trPr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lastRenderedPageBreak/>
              <w:t>Ano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Eixo Temático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Caráter</w:t>
            </w:r>
          </w:p>
        </w:tc>
        <w:tc>
          <w:tcPr>
            <w:tcW w:w="2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Natureza dos Créditos</w:t>
            </w:r>
          </w:p>
        </w:tc>
        <w:tc>
          <w:tcPr>
            <w:tcW w:w="1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F06C21" w:rsidRPr="008F6D59" w:rsidTr="00004CC2">
        <w:trPr>
          <w:gridAfter w:val="1"/>
          <w:wAfter w:w="32" w:type="dxa"/>
          <w:trHeight w:val="147"/>
        </w:trPr>
        <w:tc>
          <w:tcPr>
            <w:tcW w:w="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6D59">
              <w:rPr>
                <w:rFonts w:ascii="Arial" w:hAnsi="Arial" w:cs="Arial"/>
                <w:b/>
                <w:sz w:val="22"/>
                <w:szCs w:val="22"/>
              </w:rPr>
              <w:t>Cred</w:t>
            </w:r>
            <w:proofErr w:type="spell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CH</w:t>
            </w:r>
          </w:p>
        </w:tc>
      </w:tr>
      <w:tr w:rsidR="00F06C21" w:rsidRPr="008F6D59" w:rsidTr="00004CC2">
        <w:trPr>
          <w:gridAfter w:val="1"/>
          <w:wAfter w:w="32" w:type="dxa"/>
          <w:trHeight w:val="245"/>
        </w:trPr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4º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Desenvolvimento e gestão agroindustrial 4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proofErr w:type="spellStart"/>
            <w:r w:rsidRPr="008F6D59">
              <w:rPr>
                <w:rFonts w:ascii="Arial" w:hAnsi="Arial" w:cs="Arial"/>
                <w:b/>
                <w:sz w:val="22"/>
                <w:szCs w:val="22"/>
              </w:rPr>
              <w:t>Obr</w:t>
            </w:r>
            <w:proofErr w:type="spellEnd"/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F06C21" w:rsidRPr="008F6D59" w:rsidTr="00004CC2">
        <w:trPr>
          <w:gridAfter w:val="1"/>
          <w:wAfter w:w="32" w:type="dxa"/>
          <w:trHeight w:val="147"/>
        </w:trPr>
        <w:tc>
          <w:tcPr>
            <w:tcW w:w="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Ciência de alimentos 4</w:t>
            </w: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A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</w:tr>
      <w:tr w:rsidR="00F06C21" w:rsidRPr="008F6D59" w:rsidTr="00004CC2">
        <w:trPr>
          <w:gridAfter w:val="1"/>
          <w:wAfter w:w="32" w:type="dxa"/>
          <w:trHeight w:val="147"/>
        </w:trPr>
        <w:tc>
          <w:tcPr>
            <w:tcW w:w="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Ciências da Engenharia 4</w:t>
            </w: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210</w:t>
            </w:r>
          </w:p>
        </w:tc>
      </w:tr>
      <w:tr w:rsidR="00F06C21" w:rsidRPr="008F6D59" w:rsidTr="00004CC2">
        <w:trPr>
          <w:gridAfter w:val="1"/>
          <w:wAfter w:w="32" w:type="dxa"/>
          <w:trHeight w:val="147"/>
        </w:trPr>
        <w:tc>
          <w:tcPr>
            <w:tcW w:w="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Engenharia de processos 4</w:t>
            </w: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</w:tr>
      <w:tr w:rsidR="00F06C21" w:rsidRPr="008F6D59" w:rsidTr="00004CC2">
        <w:trPr>
          <w:gridAfter w:val="1"/>
          <w:wAfter w:w="32" w:type="dxa"/>
          <w:trHeight w:val="147"/>
        </w:trPr>
        <w:tc>
          <w:tcPr>
            <w:tcW w:w="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Produtos e processos de origem animal, vegetal e microbiana 4</w:t>
            </w: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</w:rPr>
            </w:pPr>
            <w:r w:rsidRPr="00800A7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</w:tr>
      <w:tr w:rsidR="00F06C21" w:rsidRPr="008F6D59" w:rsidTr="00004CC2">
        <w:trPr>
          <w:gridAfter w:val="1"/>
          <w:wAfter w:w="32" w:type="dxa"/>
          <w:trHeight w:val="260"/>
        </w:trPr>
        <w:tc>
          <w:tcPr>
            <w:tcW w:w="6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Subtotais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00A78">
              <w:rPr>
                <w:rFonts w:ascii="Arial" w:hAnsi="Arial" w:cs="Arial"/>
                <w:b/>
                <w:sz w:val="22"/>
                <w:szCs w:val="22"/>
              </w:rPr>
              <w:t>38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00A78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750</w:t>
            </w:r>
          </w:p>
        </w:tc>
      </w:tr>
      <w:tr w:rsidR="00F06C21" w:rsidRPr="008F6D59" w:rsidTr="00004CC2">
        <w:trPr>
          <w:gridAfter w:val="1"/>
          <w:wAfter w:w="32" w:type="dxa"/>
          <w:trHeight w:val="260"/>
        </w:trPr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5º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Desenvolvimento e gestão agroindustrial 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proofErr w:type="spellStart"/>
            <w:r w:rsidRPr="008F6D59">
              <w:rPr>
                <w:rFonts w:ascii="Arial" w:hAnsi="Arial" w:cs="Arial"/>
                <w:b/>
                <w:sz w:val="22"/>
                <w:szCs w:val="22"/>
              </w:rPr>
              <w:t>Obr</w:t>
            </w:r>
            <w:proofErr w:type="spellEnd"/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F06C21" w:rsidRPr="008F6D59" w:rsidTr="00004CC2">
        <w:trPr>
          <w:gridAfter w:val="1"/>
          <w:wAfter w:w="32" w:type="dxa"/>
          <w:trHeight w:val="147"/>
        </w:trPr>
        <w:tc>
          <w:tcPr>
            <w:tcW w:w="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Ciência de alimentos 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6D59">
              <w:rPr>
                <w:rFonts w:ascii="Arial" w:hAnsi="Arial" w:cs="Arial"/>
                <w:b/>
              </w:rPr>
              <w:t>Opt</w:t>
            </w:r>
            <w:proofErr w:type="spellEnd"/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F06C21" w:rsidRPr="008F6D59" w:rsidTr="00004CC2">
        <w:trPr>
          <w:gridAfter w:val="1"/>
          <w:wAfter w:w="32" w:type="dxa"/>
          <w:trHeight w:val="147"/>
        </w:trPr>
        <w:tc>
          <w:tcPr>
            <w:tcW w:w="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Ciências da Engenharia 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6D59">
              <w:rPr>
                <w:rFonts w:ascii="Arial" w:hAnsi="Arial" w:cs="Arial"/>
                <w:b/>
              </w:rPr>
              <w:t>Opt</w:t>
            </w:r>
            <w:proofErr w:type="spellEnd"/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F06C21" w:rsidRPr="008F6D59" w:rsidTr="00004CC2">
        <w:trPr>
          <w:gridAfter w:val="1"/>
          <w:wAfter w:w="32" w:type="dxa"/>
          <w:trHeight w:val="147"/>
        </w:trPr>
        <w:tc>
          <w:tcPr>
            <w:tcW w:w="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Engenharia de processos 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6D59">
              <w:rPr>
                <w:rFonts w:ascii="Arial" w:hAnsi="Arial" w:cs="Arial"/>
                <w:b/>
              </w:rPr>
              <w:t>Opt</w:t>
            </w:r>
            <w:proofErr w:type="spellEnd"/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F06C21" w:rsidRPr="008F6D59" w:rsidTr="00004CC2">
        <w:trPr>
          <w:gridAfter w:val="1"/>
          <w:wAfter w:w="32" w:type="dxa"/>
          <w:trHeight w:val="147"/>
        </w:trPr>
        <w:tc>
          <w:tcPr>
            <w:tcW w:w="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Produtos e processos de origem animal, vegetal e microbiana 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6D59">
              <w:rPr>
                <w:rFonts w:ascii="Arial" w:hAnsi="Arial" w:cs="Arial"/>
                <w:b/>
              </w:rPr>
              <w:t>Opt</w:t>
            </w:r>
            <w:proofErr w:type="spellEnd"/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F06C21" w:rsidRPr="008F6D59" w:rsidTr="00004CC2">
        <w:trPr>
          <w:gridAfter w:val="2"/>
          <w:wAfter w:w="49" w:type="dxa"/>
          <w:trHeight w:val="245"/>
        </w:trPr>
        <w:tc>
          <w:tcPr>
            <w:tcW w:w="6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Subtotais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00A78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00A7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</w:rPr>
              <w:t>270</w:t>
            </w:r>
          </w:p>
        </w:tc>
      </w:tr>
      <w:tr w:rsidR="00F06C21" w:rsidRPr="008F6D59" w:rsidTr="00004CC2">
        <w:trPr>
          <w:gridAfter w:val="2"/>
          <w:wAfter w:w="49" w:type="dxa"/>
          <w:trHeight w:val="245"/>
        </w:trPr>
        <w:tc>
          <w:tcPr>
            <w:tcW w:w="6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A78">
              <w:rPr>
                <w:rFonts w:ascii="Arial" w:hAnsi="Arial" w:cs="Arial"/>
                <w:b/>
                <w:sz w:val="22"/>
                <w:szCs w:val="22"/>
              </w:rPr>
              <w:t>167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00A78" w:rsidRDefault="00F06C21" w:rsidP="00004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A78">
              <w:rPr>
                <w:rFonts w:ascii="Arial" w:hAnsi="Arial" w:cs="Arial"/>
                <w:b/>
                <w:sz w:val="22"/>
                <w:szCs w:val="22"/>
              </w:rPr>
              <w:t>53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</w:rPr>
              <w:t>220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</w:rPr>
              <w:t>3300</w:t>
            </w:r>
          </w:p>
        </w:tc>
      </w:tr>
      <w:tr w:rsidR="00F06C21" w:rsidRPr="008F6D59" w:rsidTr="00004CC2">
        <w:trPr>
          <w:gridAfter w:val="2"/>
          <w:wAfter w:w="49" w:type="dxa"/>
          <w:trHeight w:val="245"/>
        </w:trPr>
        <w:tc>
          <w:tcPr>
            <w:tcW w:w="6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Estágio Supervisionado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180</w:t>
            </w:r>
          </w:p>
        </w:tc>
      </w:tr>
      <w:tr w:rsidR="00F06C21" w:rsidRPr="008F6D59" w:rsidTr="00004CC2">
        <w:trPr>
          <w:gridAfter w:val="2"/>
          <w:wAfter w:w="49" w:type="dxa"/>
          <w:trHeight w:val="260"/>
        </w:trPr>
        <w:tc>
          <w:tcPr>
            <w:tcW w:w="85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 xml:space="preserve">Projeto Agroindustrial 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180</w:t>
            </w:r>
          </w:p>
        </w:tc>
      </w:tr>
      <w:tr w:rsidR="00F06C21" w:rsidRPr="008F6D59" w:rsidTr="00004CC2">
        <w:trPr>
          <w:gridAfter w:val="2"/>
          <w:wAfter w:w="49" w:type="dxa"/>
          <w:trHeight w:val="260"/>
        </w:trPr>
        <w:tc>
          <w:tcPr>
            <w:tcW w:w="85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Trabalho de Conclusão de Curso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180</w:t>
            </w:r>
          </w:p>
        </w:tc>
      </w:tr>
      <w:tr w:rsidR="00F06C21" w:rsidRPr="008F6D59" w:rsidTr="00004CC2">
        <w:trPr>
          <w:gridAfter w:val="2"/>
          <w:wAfter w:w="49" w:type="dxa"/>
          <w:trHeight w:val="260"/>
        </w:trPr>
        <w:tc>
          <w:tcPr>
            <w:tcW w:w="85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rPr>
                <w:rFonts w:ascii="Arial" w:hAnsi="Arial" w:cs="Arial"/>
              </w:rPr>
            </w:pPr>
            <w:r w:rsidRPr="008F6D59">
              <w:rPr>
                <w:rFonts w:ascii="Arial" w:hAnsi="Arial" w:cs="Arial"/>
                <w:sz w:val="22"/>
                <w:szCs w:val="22"/>
              </w:rPr>
              <w:t>Atividades Complementares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08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120</w:t>
            </w:r>
          </w:p>
        </w:tc>
      </w:tr>
      <w:tr w:rsidR="00F06C21" w:rsidRPr="008F6D59" w:rsidTr="00004CC2">
        <w:trPr>
          <w:gridAfter w:val="1"/>
          <w:wAfter w:w="32" w:type="dxa"/>
          <w:trHeight w:val="482"/>
        </w:trPr>
        <w:tc>
          <w:tcPr>
            <w:tcW w:w="6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TOTAIS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</w:rPr>
              <w:t>264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21" w:rsidRPr="008F6D59" w:rsidRDefault="00F06C21" w:rsidP="00004CC2">
            <w:pPr>
              <w:jc w:val="center"/>
              <w:rPr>
                <w:rFonts w:ascii="Arial" w:hAnsi="Arial" w:cs="Arial"/>
                <w:b/>
              </w:rPr>
            </w:pPr>
            <w:r w:rsidRPr="008F6D59">
              <w:rPr>
                <w:rFonts w:ascii="Arial" w:hAnsi="Arial" w:cs="Arial"/>
                <w:b/>
              </w:rPr>
              <w:t>3960</w:t>
            </w:r>
          </w:p>
        </w:tc>
      </w:tr>
    </w:tbl>
    <w:p w:rsidR="00282A28" w:rsidRDefault="00282A28"/>
    <w:sectPr w:rsidR="00282A28" w:rsidSect="00282A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DB0" w:rsidRDefault="006D5DB0" w:rsidP="00F06C21">
      <w:pPr>
        <w:spacing w:after="0" w:line="240" w:lineRule="auto"/>
      </w:pPr>
      <w:r>
        <w:separator/>
      </w:r>
    </w:p>
  </w:endnote>
  <w:endnote w:type="continuationSeparator" w:id="0">
    <w:p w:rsidR="006D5DB0" w:rsidRDefault="006D5DB0" w:rsidP="00F0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DB0" w:rsidRDefault="006D5DB0" w:rsidP="00F06C21">
      <w:pPr>
        <w:spacing w:after="0" w:line="240" w:lineRule="auto"/>
      </w:pPr>
      <w:r>
        <w:separator/>
      </w:r>
    </w:p>
  </w:footnote>
  <w:footnote w:type="continuationSeparator" w:id="0">
    <w:p w:rsidR="006D5DB0" w:rsidRDefault="006D5DB0" w:rsidP="00F06C21">
      <w:pPr>
        <w:spacing w:after="0" w:line="240" w:lineRule="auto"/>
      </w:pPr>
      <w:r>
        <w:continuationSeparator/>
      </w:r>
    </w:p>
  </w:footnote>
  <w:footnote w:id="1">
    <w:p w:rsidR="00F06C21" w:rsidRPr="00894769" w:rsidRDefault="00F06C21" w:rsidP="00F06C21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 w:rsidRPr="00C954DF">
        <w:t xml:space="preserve"> </w:t>
      </w:r>
      <w:r w:rsidRPr="00894769">
        <w:rPr>
          <w:rFonts w:ascii="Arial" w:hAnsi="Arial" w:cs="Arial"/>
        </w:rPr>
        <w:t>A Resolução CNE/CES n. 2, de 18 de junho de 2007, republicada em 17 de setembro de 2007, estabelece 3600 horas como mínimo de duração para este curso e a Portaria UFSCar GR n.1272/2012 permite que sejam acrescidos 15% a esta carga horária mínima.</w:t>
      </w:r>
    </w:p>
    <w:p w:rsidR="00F06C21" w:rsidRPr="00894769" w:rsidRDefault="00F06C21" w:rsidP="00F06C21">
      <w:pPr>
        <w:pStyle w:val="Textodenotaderodap"/>
        <w:jc w:val="both"/>
        <w:rPr>
          <w:rFonts w:ascii="Arial" w:hAnsi="Arial" w:cs="Arial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C21"/>
    <w:rsid w:val="0020638B"/>
    <w:rsid w:val="00282A28"/>
    <w:rsid w:val="006D5DB0"/>
    <w:rsid w:val="00F0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C21"/>
    <w:pPr>
      <w:spacing w:line="288" w:lineRule="auto"/>
    </w:pPr>
    <w:rPr>
      <w:rFonts w:ascii="Calibri" w:eastAsia="Times New Roman" w:hAnsi="Calibri" w:cs="Times New Roman"/>
      <w:sz w:val="21"/>
      <w:szCs w:val="21"/>
    </w:rPr>
  </w:style>
  <w:style w:type="paragraph" w:styleId="Ttulo2">
    <w:name w:val="heading 2"/>
    <w:basedOn w:val="Normal"/>
    <w:next w:val="Normal"/>
    <w:link w:val="Ttulo2Char"/>
    <w:unhideWhenUsed/>
    <w:qFormat/>
    <w:rsid w:val="00F06C21"/>
    <w:pPr>
      <w:keepNext/>
      <w:keepLines/>
      <w:spacing w:before="80" w:after="0" w:line="240" w:lineRule="auto"/>
      <w:outlineLvl w:val="1"/>
    </w:pPr>
    <w:rPr>
      <w:rFonts w:ascii="Calibri Light" w:hAnsi="Calibri Light"/>
      <w:color w:val="538135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6C21"/>
    <w:rPr>
      <w:rFonts w:ascii="Calibri Light" w:eastAsia="Times New Roman" w:hAnsi="Calibri Light" w:cs="Times New Roman"/>
      <w:color w:val="538135"/>
      <w:sz w:val="28"/>
      <w:szCs w:val="28"/>
    </w:rPr>
  </w:style>
  <w:style w:type="character" w:customStyle="1" w:styleId="TextodenotaderodapChar">
    <w:name w:val="Texto de nota de rodapé Char"/>
    <w:aliases w:val="Texto de rodapé Char,Fußnotentext_ppp Char1,Fußnotentext_ppp Char Char"/>
    <w:link w:val="Textodenotaderodap"/>
    <w:uiPriority w:val="99"/>
    <w:locked/>
    <w:rsid w:val="00F06C21"/>
    <w:rPr>
      <w:sz w:val="20"/>
      <w:szCs w:val="20"/>
    </w:rPr>
  </w:style>
  <w:style w:type="paragraph" w:styleId="Textodenotaderodap">
    <w:name w:val="footnote text"/>
    <w:aliases w:val="Texto de rodapé,Fußnotentext_ppp,Fußnotentext_ppp Char"/>
    <w:basedOn w:val="Normal"/>
    <w:link w:val="TextodenotaderodapChar"/>
    <w:uiPriority w:val="99"/>
    <w:unhideWhenUsed/>
    <w:rsid w:val="00F06C2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F06C21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aliases w:val="Referência de rodapé"/>
    <w:unhideWhenUsed/>
    <w:rsid w:val="00F06C21"/>
    <w:rPr>
      <w:rFonts w:ascii="Times New Roman" w:hAnsi="Times New Roman" w:cs="Times New Roman" w:hint="default"/>
      <w:vertAlign w:val="superscript"/>
    </w:rPr>
  </w:style>
  <w:style w:type="character" w:styleId="Hyperlink">
    <w:name w:val="Hyperlink"/>
    <w:uiPriority w:val="99"/>
    <w:unhideWhenUsed/>
    <w:rsid w:val="00F06C2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ortal.mec.gov.br/cne/arquivos/pdf/rces01_0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mec.gov.br/cne/arquivos/pdf/CES112002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504</Words>
  <Characters>2884</Characters>
  <Application>Microsoft Office Word</Application>
  <DocSecurity>0</DocSecurity>
  <Lines>44</Lines>
  <Paragraphs>8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2015-12-14T18:14:00Z</dcterms:created>
  <dcterms:modified xsi:type="dcterms:W3CDTF">2015-12-14T18:16:00Z</dcterms:modified>
</cp:coreProperties>
</file>